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860968" w:rsidP="003A238C">
      <w:pPr>
        <w:jc w:val="center"/>
        <w:rPr>
          <w:b/>
          <w:sz w:val="28"/>
        </w:rPr>
      </w:pPr>
      <w:r>
        <w:rPr>
          <w:b/>
          <w:sz w:val="28"/>
        </w:rPr>
        <w:t>Toksykologia kosmetyku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60968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6096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86096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86096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860968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860968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8F346A" w:rsidP="00FF0197">
            <w:pPr>
              <w:rPr>
                <w:sz w:val="24"/>
              </w:rPr>
            </w:pPr>
            <w:r w:rsidRPr="008F346A">
              <w:rPr>
                <w:sz w:val="20"/>
                <w:szCs w:val="20"/>
              </w:rPr>
              <w:t>K –treści kierunkowe /</w:t>
            </w:r>
            <w:r w:rsidRPr="008F346A">
              <w:rPr>
                <w:sz w:val="20"/>
                <w:szCs w:val="20"/>
                <w:u w:val="single"/>
              </w:rPr>
              <w:t>P –treści podstawowe</w:t>
            </w:r>
            <w:r w:rsidRPr="008F346A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860968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860968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60968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60968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FC725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FC7254"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FC725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FC7254"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860968" w:rsidRPr="00860968">
              <w:rPr>
                <w:szCs w:val="20"/>
              </w:rPr>
              <w:t>Przed przystąpieniem do realizacji przedmiotu student powinien posiadać wiedzę, umiejętności i kompetencje społeczne z zakresu Chemii kosmetycznej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860968" w:rsidRPr="00860968">
              <w:rPr>
                <w:szCs w:val="20"/>
              </w:rPr>
              <w:t>Celem nauczania przedmiotu jest rozszerzenie wiedzy studenta o informacje dotyczące toksykologii w kosmetologii, umiejętności oceny jakości surowców i preparatów kosmetycznych oraz współdziałania w procesie rejestracji kosmetyków. Przedmiot ma za zadanie dostarczyć wiedzę dotyczącą charakterystyki toksykologicznej wybranych związków chemicznych obecnych w kosmetykach. Celem jest zapoznanie studenta z zagadnieniami związanymi z toksycznymi składnikami kosmetyków, toksycznymi substancjami stosowanymi w kosmetologii oraz oceną narażenia zawodowego kosmetologa.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995E17" w:rsidRPr="000A659B" w:rsidTr="0049452E">
        <w:trPr>
          <w:trHeight w:val="1709"/>
        </w:trPr>
        <w:tc>
          <w:tcPr>
            <w:tcW w:w="4730" w:type="dxa"/>
            <w:gridSpan w:val="5"/>
          </w:tcPr>
          <w:p w:rsidR="00995E17" w:rsidRDefault="00995E17" w:rsidP="00353346">
            <w:pPr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995E17">
              <w:rPr>
                <w:rFonts w:cstheme="minorHAnsi"/>
                <w:sz w:val="20"/>
                <w:szCs w:val="20"/>
              </w:rPr>
              <w:t>najważniejsze</w:t>
            </w:r>
            <w:proofErr w:type="gramEnd"/>
            <w:r w:rsidRPr="00995E17">
              <w:rPr>
                <w:rFonts w:cstheme="minorHAnsi"/>
                <w:sz w:val="20"/>
                <w:szCs w:val="20"/>
              </w:rPr>
              <w:t xml:space="preserve"> pojęcia toksykologii. Zna podstawy metabolizmu </w:t>
            </w:r>
            <w:proofErr w:type="spellStart"/>
            <w:r w:rsidRPr="00995E17">
              <w:rPr>
                <w:rFonts w:cstheme="minorHAnsi"/>
                <w:sz w:val="20"/>
                <w:szCs w:val="20"/>
              </w:rPr>
              <w:t>ksenobiotyków</w:t>
            </w:r>
            <w:proofErr w:type="spellEnd"/>
            <w:r w:rsidRPr="00995E17">
              <w:rPr>
                <w:rFonts w:cstheme="minorHAnsi"/>
                <w:sz w:val="20"/>
                <w:szCs w:val="20"/>
              </w:rPr>
              <w:t>. Wymienia i definiuje podstawowe grupy substancji toksycznych. Zna i rozumie mutagenne, kancerogenne i teratogenne działanie trucizn. Student ma wiedzę w zakresie problemów związanych z wprowadzaniem substancji toksycznych do środowiska.</w:t>
            </w:r>
          </w:p>
          <w:p w:rsidR="00353346" w:rsidRPr="00F2125A" w:rsidRDefault="00353346" w:rsidP="003533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995E17" w:rsidRPr="00730125" w:rsidRDefault="00995E1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95E17" w:rsidRPr="00730125" w:rsidRDefault="00995E17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95E17" w:rsidRDefault="00995E17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995E17" w:rsidRPr="00730125" w:rsidRDefault="00995E17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995E17" w:rsidRDefault="00995E17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95E17" w:rsidRDefault="00995E17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95E17" w:rsidRPr="00A261A4" w:rsidRDefault="00995E17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06</w:t>
            </w:r>
          </w:p>
          <w:p w:rsidR="00995E17" w:rsidRPr="000A659B" w:rsidRDefault="00995E17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995E17" w:rsidRDefault="00995E1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995E17" w:rsidRDefault="00995E17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995E17" w:rsidRPr="000A659B" w:rsidRDefault="00995E17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53346" w:rsidRPr="000A659B" w:rsidTr="003A3C93">
        <w:trPr>
          <w:trHeight w:val="1709"/>
        </w:trPr>
        <w:tc>
          <w:tcPr>
            <w:tcW w:w="4730" w:type="dxa"/>
            <w:gridSpan w:val="5"/>
          </w:tcPr>
          <w:p w:rsidR="00353346" w:rsidRPr="000A659B" w:rsidRDefault="00353346" w:rsidP="00353346">
            <w:pPr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7D19DC">
              <w:rPr>
                <w:sz w:val="20"/>
                <w:szCs w:val="20"/>
              </w:rPr>
              <w:t>samodzielnie</w:t>
            </w:r>
            <w:proofErr w:type="gramEnd"/>
            <w:r w:rsidRPr="007D19DC">
              <w:rPr>
                <w:sz w:val="20"/>
                <w:szCs w:val="20"/>
              </w:rPr>
              <w:t xml:space="preserve"> opracować zadany temat</w:t>
            </w:r>
            <w:r>
              <w:rPr>
                <w:sz w:val="20"/>
                <w:szCs w:val="20"/>
              </w:rPr>
              <w:t>;</w:t>
            </w:r>
            <w:r w:rsidRPr="007D19DC">
              <w:rPr>
                <w:sz w:val="20"/>
                <w:szCs w:val="20"/>
              </w:rPr>
              <w:t xml:space="preserve"> analizować i wyciągać wnioski na podstawie zdobytej wiedzy</w:t>
            </w:r>
            <w:r>
              <w:rPr>
                <w:sz w:val="20"/>
                <w:szCs w:val="20"/>
              </w:rPr>
              <w:t xml:space="preserve">; </w:t>
            </w:r>
            <w:r w:rsidRPr="007D19DC">
              <w:rPr>
                <w:sz w:val="20"/>
                <w:szCs w:val="20"/>
              </w:rPr>
              <w:t>zaplanować i przeprowadzić nieskomplikowany test toksykologiczny oraz na podstawie jego wyników wyciągnąć poprawne wnioski</w:t>
            </w:r>
            <w:r>
              <w:rPr>
                <w:sz w:val="20"/>
                <w:szCs w:val="20"/>
              </w:rPr>
              <w:t>; wykonać oznaczenie zawartości wybranych substancji w kosmetyku.</w:t>
            </w:r>
          </w:p>
        </w:tc>
        <w:tc>
          <w:tcPr>
            <w:tcW w:w="1352" w:type="dxa"/>
            <w:gridSpan w:val="2"/>
          </w:tcPr>
          <w:p w:rsidR="00353346" w:rsidRDefault="00353346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53346" w:rsidRDefault="0035334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53346" w:rsidRDefault="0035334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53346" w:rsidRDefault="0035334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53346" w:rsidRPr="00730125" w:rsidRDefault="0035334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53346" w:rsidRDefault="0035334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53346" w:rsidRPr="000A659B" w:rsidRDefault="0035334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08</w:t>
            </w:r>
          </w:p>
          <w:p w:rsidR="00353346" w:rsidRPr="000A659B" w:rsidRDefault="00353346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53346" w:rsidRDefault="0035334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</w:t>
            </w:r>
          </w:p>
          <w:p w:rsidR="00353346" w:rsidRPr="000A659B" w:rsidRDefault="00353346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353346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do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353346">
              <w:rPr>
                <w:rFonts w:cstheme="minorHAnsi"/>
                <w:sz w:val="20"/>
                <w:szCs w:val="20"/>
              </w:rPr>
              <w:t>pracy w grupie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995E17">
              <w:rPr>
                <w:rFonts w:cstheme="minorHAnsi"/>
                <w:sz w:val="20"/>
                <w:szCs w:val="20"/>
              </w:rPr>
              <w:t>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8B493F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B493F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8B49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B493F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8B49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8B493F">
              <w:rPr>
                <w:b/>
              </w:rPr>
              <w:t xml:space="preserve"> 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8B49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B493F">
              <w:rPr>
                <w:b/>
              </w:rPr>
              <w:t>4</w:t>
            </w:r>
          </w:p>
        </w:tc>
      </w:tr>
      <w:tr w:rsidR="00995E17" w:rsidTr="00AD3F08">
        <w:tc>
          <w:tcPr>
            <w:tcW w:w="3796" w:type="dxa"/>
            <w:gridSpan w:val="3"/>
          </w:tcPr>
          <w:p w:rsidR="00995E17" w:rsidRDefault="00995E17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995E17" w:rsidRPr="00B4771B" w:rsidRDefault="008F346A" w:rsidP="00AD3F08">
            <w:pPr>
              <w:jc w:val="center"/>
            </w:pPr>
            <w:r>
              <w:t>1</w:t>
            </w:r>
            <w:r w:rsidR="00995E17">
              <w:t>0</w:t>
            </w:r>
          </w:p>
        </w:tc>
        <w:tc>
          <w:tcPr>
            <w:tcW w:w="1473" w:type="dxa"/>
            <w:gridSpan w:val="2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995E17" w:rsidRDefault="00995E17" w:rsidP="00AD3F08">
            <w:pPr>
              <w:jc w:val="center"/>
            </w:pPr>
          </w:p>
          <w:p w:rsidR="00995E17" w:rsidRPr="00B4771B" w:rsidRDefault="00995E17" w:rsidP="00AD3F08">
            <w:pPr>
              <w:jc w:val="center"/>
            </w:pPr>
            <w:r>
              <w:t>1</w:t>
            </w:r>
          </w:p>
          <w:p w:rsidR="00995E17" w:rsidRPr="00B4771B" w:rsidRDefault="00995E1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</w:tr>
      <w:tr w:rsidR="00995E17" w:rsidTr="00AD3F08">
        <w:tc>
          <w:tcPr>
            <w:tcW w:w="3796" w:type="dxa"/>
            <w:gridSpan w:val="3"/>
          </w:tcPr>
          <w:p w:rsidR="00995E17" w:rsidRDefault="00995E17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995E17" w:rsidRPr="00B4771B" w:rsidRDefault="00995E17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95E17" w:rsidRPr="00B4771B" w:rsidRDefault="00995E1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</w:tr>
      <w:tr w:rsidR="00995E17" w:rsidTr="00AD3F08">
        <w:tc>
          <w:tcPr>
            <w:tcW w:w="3796" w:type="dxa"/>
            <w:gridSpan w:val="3"/>
          </w:tcPr>
          <w:p w:rsidR="00995E17" w:rsidRDefault="00995E17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995E17" w:rsidRPr="00B4771B" w:rsidRDefault="00995E17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95E17" w:rsidRPr="00B4771B" w:rsidRDefault="00995E1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95E17" w:rsidRPr="00B4771B" w:rsidRDefault="00995E17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995E17" w:rsidP="00AD3F08">
            <w:pPr>
              <w:jc w:val="center"/>
            </w:pPr>
            <w:r>
              <w:t>30</w:t>
            </w:r>
          </w:p>
        </w:tc>
        <w:tc>
          <w:tcPr>
            <w:tcW w:w="1473" w:type="dxa"/>
            <w:gridSpan w:val="2"/>
          </w:tcPr>
          <w:p w:rsidR="00AD3F08" w:rsidRPr="00B4771B" w:rsidRDefault="00995E1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995E17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995E17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E4940" w:rsidP="00AD3F08">
            <w:pPr>
              <w:jc w:val="center"/>
            </w:pPr>
            <w:r>
              <w:t>5</w:t>
            </w:r>
            <w:r w:rsidR="00995E17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E4940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E4940" w:rsidP="00AD3F08">
            <w:pPr>
              <w:jc w:val="center"/>
            </w:pPr>
            <w:r>
              <w:t>2</w:t>
            </w:r>
            <w:r w:rsidR="00995E17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53346" w:rsidTr="00353346">
        <w:tc>
          <w:tcPr>
            <w:tcW w:w="2078" w:type="dxa"/>
            <w:gridSpan w:val="2"/>
            <w:vMerge w:val="restart"/>
          </w:tcPr>
          <w:p w:rsidR="00353346" w:rsidRDefault="00353346" w:rsidP="00353346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53346" w:rsidRDefault="00353346" w:rsidP="00353346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353346" w:rsidTr="00353346">
        <w:tc>
          <w:tcPr>
            <w:tcW w:w="2078" w:type="dxa"/>
            <w:gridSpan w:val="2"/>
            <w:vMerge/>
          </w:tcPr>
          <w:p w:rsidR="00353346" w:rsidRDefault="00353346" w:rsidP="0035334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353346" w:rsidTr="00353346">
        <w:tc>
          <w:tcPr>
            <w:tcW w:w="2078" w:type="dxa"/>
            <w:gridSpan w:val="2"/>
            <w:vMerge/>
          </w:tcPr>
          <w:p w:rsidR="00353346" w:rsidRDefault="00353346" w:rsidP="0035334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353346" w:rsidTr="00353346">
        <w:tc>
          <w:tcPr>
            <w:tcW w:w="2078" w:type="dxa"/>
            <w:gridSpan w:val="2"/>
            <w:vMerge/>
          </w:tcPr>
          <w:p w:rsidR="00353346" w:rsidRDefault="00353346" w:rsidP="0035334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7C57FC" w:rsidRDefault="00353346" w:rsidP="0035334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353346" w:rsidRPr="001D62B6" w:rsidRDefault="00353346" w:rsidP="00353346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353346" w:rsidTr="00353346">
        <w:tc>
          <w:tcPr>
            <w:tcW w:w="2078" w:type="dxa"/>
            <w:gridSpan w:val="2"/>
            <w:vMerge/>
          </w:tcPr>
          <w:p w:rsidR="00353346" w:rsidRDefault="00353346" w:rsidP="0035334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353346" w:rsidTr="00353346">
        <w:tc>
          <w:tcPr>
            <w:tcW w:w="2078" w:type="dxa"/>
            <w:gridSpan w:val="2"/>
            <w:vMerge/>
          </w:tcPr>
          <w:p w:rsidR="00353346" w:rsidRDefault="00353346" w:rsidP="0035334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3346" w:rsidRPr="001D62B6" w:rsidRDefault="00353346" w:rsidP="00353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</w:t>
            </w:r>
            <w:proofErr w:type="gramStart"/>
            <w:r>
              <w:rPr>
                <w:sz w:val="20"/>
                <w:szCs w:val="20"/>
              </w:rPr>
              <w:t xml:space="preserve"> (5,0)-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353346" w:rsidRPr="00353346" w:rsidRDefault="00353346" w:rsidP="00353346">
            <w:pPr>
              <w:rPr>
                <w:sz w:val="20"/>
                <w:szCs w:val="20"/>
              </w:rPr>
            </w:pPr>
            <w:proofErr w:type="spellStart"/>
            <w:r w:rsidRPr="00353346">
              <w:rPr>
                <w:sz w:val="20"/>
                <w:szCs w:val="20"/>
              </w:rPr>
              <w:t>Seńczuk</w:t>
            </w:r>
            <w:proofErr w:type="spellEnd"/>
            <w:r w:rsidRPr="00353346">
              <w:rPr>
                <w:sz w:val="20"/>
                <w:szCs w:val="20"/>
              </w:rPr>
              <w:t xml:space="preserve"> W. ,Toksykologia współczesna, PZWL 2017 </w:t>
            </w:r>
          </w:p>
          <w:p w:rsidR="00353346" w:rsidRPr="00353346" w:rsidRDefault="00353346" w:rsidP="00353346">
            <w:pPr>
              <w:rPr>
                <w:sz w:val="20"/>
                <w:szCs w:val="20"/>
              </w:rPr>
            </w:pPr>
            <w:r w:rsidRPr="00353346">
              <w:rPr>
                <w:sz w:val="20"/>
                <w:szCs w:val="20"/>
              </w:rPr>
              <w:t xml:space="preserve">Jurowski K., </w:t>
            </w:r>
            <w:proofErr w:type="spellStart"/>
            <w:r w:rsidRPr="00353346">
              <w:rPr>
                <w:sz w:val="20"/>
                <w:szCs w:val="20"/>
              </w:rPr>
              <w:t>Piekoszewski</w:t>
            </w:r>
            <w:proofErr w:type="spellEnd"/>
            <w:r w:rsidRPr="00353346">
              <w:rPr>
                <w:sz w:val="20"/>
                <w:szCs w:val="20"/>
              </w:rPr>
              <w:t xml:space="preserve"> W. Toksykologia i ocena bezpieczeństwa kosmetyków, PZWL 2019</w:t>
            </w:r>
          </w:p>
          <w:p w:rsidR="00353346" w:rsidRPr="00353346" w:rsidRDefault="00353346" w:rsidP="00353346">
            <w:pPr>
              <w:rPr>
                <w:sz w:val="20"/>
                <w:szCs w:val="20"/>
              </w:rPr>
            </w:pPr>
            <w:r w:rsidRPr="00353346">
              <w:rPr>
                <w:sz w:val="20"/>
                <w:szCs w:val="20"/>
              </w:rPr>
              <w:t>Piotrowski J.K., Podstawy toksykologii. WNT, Warszawa, 2011</w:t>
            </w:r>
          </w:p>
          <w:p w:rsidR="00AD3F08" w:rsidRDefault="00353346" w:rsidP="00353346">
            <w:pPr>
              <w:rPr>
                <w:b/>
                <w:sz w:val="28"/>
              </w:rPr>
            </w:pPr>
            <w:r w:rsidRPr="00353346">
              <w:rPr>
                <w:sz w:val="20"/>
                <w:szCs w:val="20"/>
              </w:rPr>
              <w:t>Martini M.-C., Kosmetologia i farmakologia skóry, Wydawnictwo Lekarskie PZWL, Warszawa 2014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353346" w:rsidRPr="00353346" w:rsidRDefault="00353346" w:rsidP="00353346">
            <w:pPr>
              <w:spacing w:line="256" w:lineRule="auto"/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353346">
              <w:rPr>
                <w:sz w:val="20"/>
                <w:szCs w:val="20"/>
                <w:lang w:val="en-US"/>
              </w:rPr>
              <w:t xml:space="preserve">Moffat A.C., </w:t>
            </w:r>
            <w:proofErr w:type="spellStart"/>
            <w:r w:rsidRPr="00353346">
              <w:rPr>
                <w:sz w:val="20"/>
                <w:szCs w:val="20"/>
                <w:lang w:val="en-US"/>
              </w:rPr>
              <w:t>Osselton</w:t>
            </w:r>
            <w:proofErr w:type="spellEnd"/>
            <w:r w:rsidRPr="00353346">
              <w:rPr>
                <w:sz w:val="20"/>
                <w:szCs w:val="20"/>
                <w:lang w:val="en-US"/>
              </w:rPr>
              <w:t xml:space="preserve"> M.D., </w:t>
            </w:r>
            <w:proofErr w:type="spellStart"/>
            <w:r w:rsidRPr="00353346">
              <w:rPr>
                <w:sz w:val="20"/>
                <w:szCs w:val="20"/>
                <w:lang w:val="en-US"/>
              </w:rPr>
              <w:t>Widdop</w:t>
            </w:r>
            <w:proofErr w:type="spellEnd"/>
            <w:r w:rsidRPr="00353346">
              <w:rPr>
                <w:sz w:val="20"/>
                <w:szCs w:val="20"/>
                <w:lang w:val="en-US"/>
              </w:rPr>
              <w:t xml:space="preserve"> B., Clarke’s Analysis of Drugs and Poisons. </w:t>
            </w:r>
            <w:proofErr w:type="spellStart"/>
            <w:r w:rsidRPr="00353346">
              <w:rPr>
                <w:sz w:val="20"/>
                <w:szCs w:val="20"/>
                <w:lang w:val="en-US"/>
              </w:rPr>
              <w:t>Php</w:t>
            </w:r>
            <w:proofErr w:type="spellEnd"/>
            <w:r w:rsidRPr="00353346">
              <w:rPr>
                <w:sz w:val="20"/>
                <w:szCs w:val="20"/>
                <w:lang w:val="en-US"/>
              </w:rPr>
              <w:t xml:space="preserve">, 2011. </w:t>
            </w:r>
          </w:p>
          <w:p w:rsidR="00AD3F08" w:rsidRDefault="00353346" w:rsidP="00353346">
            <w:pPr>
              <w:rPr>
                <w:b/>
                <w:sz w:val="28"/>
              </w:rPr>
            </w:pPr>
            <w:r w:rsidRPr="00353346">
              <w:rPr>
                <w:sz w:val="20"/>
                <w:szCs w:val="20"/>
                <w:lang w:val="en-US"/>
              </w:rPr>
              <w:t xml:space="preserve">Flanagan R.J., Taylor A., Watson I.D., </w:t>
            </w:r>
            <w:proofErr w:type="spellStart"/>
            <w:r w:rsidRPr="00353346">
              <w:rPr>
                <w:sz w:val="20"/>
                <w:szCs w:val="20"/>
                <w:lang w:val="en-US"/>
              </w:rPr>
              <w:t>Whelpton</w:t>
            </w:r>
            <w:proofErr w:type="spellEnd"/>
            <w:r w:rsidRPr="00353346">
              <w:rPr>
                <w:sz w:val="20"/>
                <w:szCs w:val="20"/>
                <w:lang w:val="en-US"/>
              </w:rPr>
              <w:t xml:space="preserve"> R. Fundamental of analytical toxicology., </w:t>
            </w:r>
            <w:proofErr w:type="spellStart"/>
            <w:r w:rsidRPr="00353346">
              <w:rPr>
                <w:sz w:val="20"/>
                <w:szCs w:val="20"/>
                <w:lang w:val="en-US"/>
              </w:rPr>
              <w:t>Whiley</w:t>
            </w:r>
            <w:proofErr w:type="spellEnd"/>
            <w:r w:rsidRPr="00353346">
              <w:rPr>
                <w:sz w:val="20"/>
                <w:szCs w:val="20"/>
                <w:lang w:val="en-US"/>
              </w:rPr>
              <w:t>, 2007.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F20FEB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F20FEB">
              <w:rPr>
                <w:b/>
                <w:sz w:val="24"/>
                <w:szCs w:val="24"/>
              </w:rPr>
              <w:t>3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Cele i zadania toksykologii. Podstawowe pojęcia i definicje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Chemiczne podstawy toksyczności związku. Mechanizmy działania toksycznego </w:t>
            </w:r>
            <w:proofErr w:type="spellStart"/>
            <w:r w:rsidRPr="00F20FEB">
              <w:rPr>
                <w:rFonts w:cs="Arial"/>
              </w:rPr>
              <w:t>ksenobiotyków</w:t>
            </w:r>
            <w:proofErr w:type="spellEnd"/>
            <w:r w:rsidRPr="00F20FEB">
              <w:rPr>
                <w:rFonts w:cs="Arial"/>
              </w:rPr>
              <w:t xml:space="preserve"> i czynniki warunkujące ich toksyczność oraz interakcje toksykologiczne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Losy </w:t>
            </w:r>
            <w:proofErr w:type="spellStart"/>
            <w:r w:rsidRPr="00F20FEB">
              <w:rPr>
                <w:rFonts w:cs="Arial"/>
              </w:rPr>
              <w:t>ksenobiotyków</w:t>
            </w:r>
            <w:proofErr w:type="spellEnd"/>
            <w:r w:rsidRPr="00F20FEB">
              <w:rPr>
                <w:rFonts w:cs="Arial"/>
              </w:rPr>
              <w:t xml:space="preserve"> w ustroju (wchłanianie, dystrybucja, biotransformacja, kumulacja i wydalanie)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Mutagenne, kancerogenne i teratogenne działanie </w:t>
            </w:r>
            <w:proofErr w:type="spellStart"/>
            <w:r w:rsidRPr="00F20FEB">
              <w:rPr>
                <w:rFonts w:cs="Arial"/>
              </w:rPr>
              <w:t>ksenobiotyków</w:t>
            </w:r>
            <w:proofErr w:type="spellEnd"/>
            <w:r w:rsidRPr="00F20FEB">
              <w:rPr>
                <w:rFonts w:cs="Arial"/>
              </w:rPr>
              <w:t>. Rodzaje zagrożeń dla zdrowia stwarzanych przez substancje toksyczne (zatrucia ostre, podostre i przewlekłe, skutki odległe - działanie rakotwórcze, zwiększone ryzyko chorób cywilizacyjnych, choroby zawodowe)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Metale, półmetale i ich połączenia – toksyczność, zagrożenia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Niemetale i ich połączenia, pyły i substancje lotne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Czynniki fizyczne, promieniotwórczość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Wielopierścieniowe węglowodory aromatyczne oraz chlorowane związki organiczne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Pestycydy</w:t>
            </w:r>
            <w:r>
              <w:rPr>
                <w:rFonts w:cs="Arial"/>
              </w:rPr>
              <w:t>.</w:t>
            </w:r>
            <w:r w:rsidRPr="00F20FEB">
              <w:rPr>
                <w:rFonts w:cs="Arial"/>
              </w:rPr>
              <w:t xml:space="preserve"> Rozpuszczalniki oraz tworzywa sztuczne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Substancje toksyczne w kosmetykach i środkach czystości oraz rzeczach codziennego użytku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Rodzaje testów toksykologicznych. Proste obliczenia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20FEB" w:rsidRPr="00FA0F73" w:rsidRDefault="00F20FEB" w:rsidP="00F20FE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20FEB" w:rsidRPr="00FA0F73" w:rsidRDefault="00354BAE" w:rsidP="00F20FE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Zastosowanie testów immunoenzymatycznych w toksykologii. Wykorzystanie testu ELISA połączone z prezentacją i zadaniem praktycznym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20FEB" w:rsidRPr="00EB7178" w:rsidRDefault="00354BAE" w:rsidP="00F20FE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20FEB" w:rsidRDefault="00354BAE" w:rsidP="00F20FEB">
            <w:r>
              <w:rPr>
                <w:b/>
              </w:rPr>
              <w:t>4</w:t>
            </w:r>
          </w:p>
        </w:tc>
      </w:tr>
      <w:tr w:rsidR="00F20FEB" w:rsidTr="00AD3F08">
        <w:tc>
          <w:tcPr>
            <w:tcW w:w="515" w:type="dxa"/>
          </w:tcPr>
          <w:p w:rsidR="00F20FEB" w:rsidRPr="00E87231" w:rsidRDefault="00F20FEB" w:rsidP="00F20FE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>Oznaczanie zawartości formaldehydu, nadtlenku wodoru, salicylanów, amoniaku w kosmetykach</w:t>
            </w:r>
            <w:r>
              <w:rPr>
                <w:rFonts w:cs="Arial"/>
              </w:rPr>
              <w:t>.</w:t>
            </w:r>
          </w:p>
          <w:p w:rsidR="00F20FEB" w:rsidRPr="00F20FEB" w:rsidRDefault="00F20FEB" w:rsidP="00F20FEB">
            <w:pPr>
              <w:contextualSpacing/>
              <w:jc w:val="both"/>
              <w:rPr>
                <w:rFonts w:cs="Arial"/>
              </w:rPr>
            </w:pPr>
            <w:r w:rsidRPr="00F20FEB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20FEB" w:rsidRDefault="00354BAE" w:rsidP="00F20FE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20FEB" w:rsidRDefault="00354BAE" w:rsidP="00F20FEB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56682"/>
    <w:multiLevelType w:val="hybridMultilevel"/>
    <w:tmpl w:val="02167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C16BF"/>
    <w:multiLevelType w:val="hybridMultilevel"/>
    <w:tmpl w:val="34F4C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5DF9"/>
    <w:rsid w:val="002C1097"/>
    <w:rsid w:val="00337096"/>
    <w:rsid w:val="00353346"/>
    <w:rsid w:val="00354BAE"/>
    <w:rsid w:val="003A238C"/>
    <w:rsid w:val="003C7AE0"/>
    <w:rsid w:val="003E0CC0"/>
    <w:rsid w:val="004179F2"/>
    <w:rsid w:val="00486DF3"/>
    <w:rsid w:val="005F01CE"/>
    <w:rsid w:val="00696A2C"/>
    <w:rsid w:val="006E095B"/>
    <w:rsid w:val="00751413"/>
    <w:rsid w:val="00793969"/>
    <w:rsid w:val="007E4940"/>
    <w:rsid w:val="00842C7A"/>
    <w:rsid w:val="00855744"/>
    <w:rsid w:val="00860968"/>
    <w:rsid w:val="00880636"/>
    <w:rsid w:val="00880765"/>
    <w:rsid w:val="008B493F"/>
    <w:rsid w:val="008D5929"/>
    <w:rsid w:val="008F346A"/>
    <w:rsid w:val="009002A0"/>
    <w:rsid w:val="00995E17"/>
    <w:rsid w:val="00A261A4"/>
    <w:rsid w:val="00A74A98"/>
    <w:rsid w:val="00AC7875"/>
    <w:rsid w:val="00AD3F08"/>
    <w:rsid w:val="00AE2A00"/>
    <w:rsid w:val="00B1357B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E42068"/>
    <w:rsid w:val="00E649B8"/>
    <w:rsid w:val="00E87231"/>
    <w:rsid w:val="00EB3110"/>
    <w:rsid w:val="00F20FEB"/>
    <w:rsid w:val="00FA0F73"/>
    <w:rsid w:val="00FC7254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A68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F20FEB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974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2026-05-18T09:54:00Z</cp:lastPrinted>
  <dcterms:created xsi:type="dcterms:W3CDTF">2026-05-18T09:54:00Z</dcterms:created>
  <dcterms:modified xsi:type="dcterms:W3CDTF">2026-05-18T09:54:00Z</dcterms:modified>
</cp:coreProperties>
</file>